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ECEDC" w14:textId="77777777" w:rsidR="00D17560" w:rsidRPr="00A31118" w:rsidRDefault="00D17560" w:rsidP="00D17560">
      <w:pPr>
        <w:suppressAutoHyphens w:val="0"/>
        <w:spacing w:after="200" w:line="276" w:lineRule="auto"/>
        <w:jc w:val="center"/>
        <w:textAlignment w:val="auto"/>
        <w:rPr>
          <w:rFonts w:ascii="Arial" w:hAnsi="Arial"/>
          <w:b/>
          <w:szCs w:val="20"/>
        </w:rPr>
      </w:pPr>
      <w:bookmarkStart w:id="0" w:name="_Hlk157583856"/>
      <w:r w:rsidRPr="00A31118">
        <w:rPr>
          <w:rFonts w:ascii="Arial" w:hAnsi="Arial"/>
          <w:b/>
          <w:szCs w:val="20"/>
        </w:rPr>
        <w:t>Laboratorní vyšetřování k průkazu známek infekce dárců krve a/nebo krevní složky</w:t>
      </w:r>
    </w:p>
    <w:bookmarkEnd w:id="0"/>
    <w:p w14:paraId="1F1C1D0E" w14:textId="04E80DEF" w:rsidR="00050473" w:rsidRPr="00A31118" w:rsidRDefault="009A7531" w:rsidP="00343785">
      <w:pPr>
        <w:suppressAutoHyphens w:val="0"/>
        <w:spacing w:after="200" w:line="276" w:lineRule="auto"/>
        <w:jc w:val="center"/>
        <w:textAlignment w:val="auto"/>
        <w:rPr>
          <w:rFonts w:ascii="Arial" w:eastAsia="Calibri" w:hAnsi="Arial"/>
          <w:b/>
          <w:kern w:val="0"/>
          <w:szCs w:val="20"/>
          <w:lang w:eastAsia="en-US" w:bidi="ar-SA"/>
        </w:rPr>
      </w:pPr>
      <w:r w:rsidRPr="00A31118">
        <w:rPr>
          <w:rFonts w:ascii="Arial" w:eastAsia="Calibri" w:hAnsi="Arial"/>
          <w:b/>
          <w:kern w:val="0"/>
          <w:szCs w:val="20"/>
          <w:lang w:eastAsia="en-US" w:bidi="ar-SA"/>
        </w:rPr>
        <w:t xml:space="preserve">Technická specifikace </w:t>
      </w:r>
      <w:r w:rsidR="00895155" w:rsidRPr="00A31118">
        <w:rPr>
          <w:rFonts w:ascii="Arial" w:eastAsia="Calibri" w:hAnsi="Arial"/>
          <w:b/>
          <w:kern w:val="0"/>
          <w:szCs w:val="20"/>
          <w:lang w:eastAsia="en-US" w:bidi="ar-SA"/>
        </w:rPr>
        <w:t xml:space="preserve">pro část </w:t>
      </w:r>
      <w:r w:rsidR="007F6D9D" w:rsidRPr="00A31118">
        <w:rPr>
          <w:rFonts w:ascii="Arial" w:eastAsia="Calibri" w:hAnsi="Arial"/>
          <w:b/>
          <w:kern w:val="0"/>
          <w:szCs w:val="20"/>
          <w:lang w:eastAsia="en-US" w:bidi="ar-SA"/>
        </w:rPr>
        <w:t>2</w:t>
      </w:r>
      <w:r w:rsidR="00A31118">
        <w:rPr>
          <w:rFonts w:ascii="Arial" w:eastAsia="Calibri" w:hAnsi="Arial"/>
          <w:b/>
          <w:kern w:val="0"/>
          <w:szCs w:val="20"/>
          <w:lang w:eastAsia="en-US" w:bidi="ar-SA"/>
        </w:rPr>
        <w:t>:</w:t>
      </w:r>
      <w:r w:rsidR="00050473" w:rsidRPr="00A31118">
        <w:rPr>
          <w:rFonts w:ascii="Arial" w:eastAsia="Calibri" w:hAnsi="Arial"/>
          <w:b/>
          <w:kern w:val="0"/>
          <w:szCs w:val="20"/>
          <w:lang w:eastAsia="en-US" w:bidi="ar-SA"/>
        </w:rPr>
        <w:t xml:space="preserve"> </w:t>
      </w:r>
    </w:p>
    <w:p w14:paraId="675D7932" w14:textId="0184EE05" w:rsidR="00A911C8" w:rsidRPr="00A31118" w:rsidRDefault="00050473" w:rsidP="00343785">
      <w:pPr>
        <w:suppressAutoHyphens w:val="0"/>
        <w:spacing w:after="200" w:line="276" w:lineRule="auto"/>
        <w:jc w:val="center"/>
        <w:textAlignment w:val="auto"/>
        <w:rPr>
          <w:rFonts w:ascii="Arial" w:eastAsia="Calibri" w:hAnsi="Arial"/>
          <w:b/>
          <w:kern w:val="0"/>
          <w:szCs w:val="20"/>
          <w:lang w:eastAsia="en-US" w:bidi="ar-SA"/>
        </w:rPr>
      </w:pPr>
      <w:r w:rsidRPr="00A31118">
        <w:rPr>
          <w:rFonts w:ascii="Arial" w:eastAsia="Calibri" w:hAnsi="Arial"/>
          <w:b/>
          <w:kern w:val="0"/>
          <w:szCs w:val="20"/>
          <w:lang w:eastAsia="en-US" w:bidi="ar-SA"/>
        </w:rPr>
        <w:t>P</w:t>
      </w:r>
      <w:r w:rsidR="00D17560" w:rsidRPr="00A31118">
        <w:rPr>
          <w:rFonts w:ascii="Arial" w:eastAsia="Calibri" w:hAnsi="Arial"/>
          <w:b/>
          <w:kern w:val="0"/>
          <w:szCs w:val="20"/>
          <w:lang w:eastAsia="en-US" w:bidi="ar-SA"/>
        </w:rPr>
        <w:t>římá detekce virové RNA/DNA (vyšetřování nukleových kyselin, NAT)</w:t>
      </w:r>
    </w:p>
    <w:p w14:paraId="6B420E1D" w14:textId="77777777" w:rsidR="00A911C8" w:rsidRPr="00A31118" w:rsidRDefault="00A911C8">
      <w:pPr>
        <w:suppressAutoHyphens w:val="0"/>
        <w:spacing w:after="200" w:line="276" w:lineRule="auto"/>
        <w:jc w:val="center"/>
        <w:textAlignment w:val="auto"/>
        <w:rPr>
          <w:rFonts w:ascii="Arial" w:hAnsi="Arial"/>
          <w:b/>
          <w:sz w:val="20"/>
          <w:szCs w:val="20"/>
        </w:rPr>
      </w:pPr>
    </w:p>
    <w:p w14:paraId="44651BE7" w14:textId="4EF03296" w:rsidR="001E6B62" w:rsidRPr="00A31118" w:rsidRDefault="00343785" w:rsidP="001E6B62">
      <w:pPr>
        <w:jc w:val="both"/>
        <w:rPr>
          <w:rFonts w:ascii="Arial" w:hAnsi="Arial"/>
          <w:b/>
          <w:sz w:val="20"/>
          <w:szCs w:val="20"/>
        </w:rPr>
      </w:pPr>
      <w:r w:rsidRPr="00A31118">
        <w:rPr>
          <w:rFonts w:ascii="Arial" w:hAnsi="Arial"/>
          <w:b/>
          <w:sz w:val="20"/>
          <w:szCs w:val="20"/>
        </w:rPr>
        <w:t>Popis:</w:t>
      </w:r>
    </w:p>
    <w:p w14:paraId="486A11AB" w14:textId="259F070F" w:rsidR="00D17560" w:rsidRPr="00A31118" w:rsidRDefault="00D17560" w:rsidP="00D17560">
      <w:pPr>
        <w:autoSpaceDE w:val="0"/>
        <w:adjustRightInd w:val="0"/>
        <w:jc w:val="both"/>
        <w:rPr>
          <w:rFonts w:ascii="Arial" w:hAnsi="Arial"/>
          <w:sz w:val="20"/>
          <w:szCs w:val="20"/>
        </w:rPr>
      </w:pPr>
      <w:r w:rsidRPr="00A31118">
        <w:rPr>
          <w:rFonts w:ascii="Arial" w:hAnsi="Arial"/>
          <w:sz w:val="20"/>
          <w:szCs w:val="20"/>
        </w:rPr>
        <w:t>Dodávka reagencií a bezúplatná výpůjčka potřebných technologií a zajištění jejich servisu na pracoviště Transfuzní oddělení, K</w:t>
      </w:r>
      <w:r w:rsidR="00050473" w:rsidRPr="00A31118">
        <w:rPr>
          <w:rFonts w:ascii="Arial" w:hAnsi="Arial"/>
          <w:sz w:val="20"/>
          <w:szCs w:val="20"/>
        </w:rPr>
        <w:t>rajská zdravotní</w:t>
      </w:r>
      <w:r w:rsidRPr="00A31118">
        <w:rPr>
          <w:rFonts w:ascii="Arial" w:hAnsi="Arial"/>
          <w:sz w:val="20"/>
          <w:szCs w:val="20"/>
        </w:rPr>
        <w:t>, a.s., Masarykova nemocnice v Ústí nad Labem, o.z.</w:t>
      </w:r>
    </w:p>
    <w:p w14:paraId="1253FEF8" w14:textId="77777777" w:rsidR="00050473" w:rsidRPr="00A31118" w:rsidRDefault="00050473" w:rsidP="0063097B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</w:p>
    <w:p w14:paraId="0B792AA3" w14:textId="4314DC4B" w:rsidR="0063097B" w:rsidRPr="00A31118" w:rsidRDefault="0063097B" w:rsidP="0063097B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  <w:r w:rsidRPr="00A31118"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  <w:t>Předpokládaný počet vyšetření:</w:t>
      </w:r>
    </w:p>
    <w:p w14:paraId="5B5BD087" w14:textId="77777777" w:rsidR="000759F0" w:rsidRPr="00A31118" w:rsidRDefault="000759F0" w:rsidP="0063097B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</w:p>
    <w:p w14:paraId="4265610B" w14:textId="73BE26CA" w:rsidR="0063097B" w:rsidRPr="00A31118" w:rsidRDefault="0063097B" w:rsidP="0063097B">
      <w:pPr>
        <w:rPr>
          <w:rFonts w:ascii="Arial" w:hAnsi="Arial"/>
          <w:sz w:val="20"/>
          <w:szCs w:val="20"/>
        </w:rPr>
      </w:pPr>
      <w:r w:rsidRPr="00A31118">
        <w:rPr>
          <w:rFonts w:ascii="Arial" w:hAnsi="Arial"/>
          <w:sz w:val="20"/>
          <w:szCs w:val="20"/>
        </w:rPr>
        <w:t xml:space="preserve">Tabulka č. </w:t>
      </w:r>
      <w:r w:rsidR="005775D1" w:rsidRPr="00A31118">
        <w:rPr>
          <w:rFonts w:ascii="Arial" w:hAnsi="Arial"/>
          <w:sz w:val="20"/>
          <w:szCs w:val="20"/>
        </w:rPr>
        <w:t>1</w:t>
      </w:r>
      <w:r w:rsidRPr="00A31118">
        <w:rPr>
          <w:rFonts w:ascii="Arial" w:hAnsi="Arial"/>
          <w:sz w:val="20"/>
          <w:szCs w:val="20"/>
        </w:rPr>
        <w:t xml:space="preserve">: Spektrum požadovaných analytů </w:t>
      </w:r>
      <w:r w:rsidR="000759F0" w:rsidRPr="00A31118">
        <w:rPr>
          <w:rFonts w:ascii="Arial" w:hAnsi="Arial"/>
          <w:sz w:val="20"/>
          <w:szCs w:val="20"/>
        </w:rPr>
        <w:t>část 2</w:t>
      </w:r>
    </w:p>
    <w:p w14:paraId="09A4E0CE" w14:textId="77777777" w:rsidR="000759F0" w:rsidRPr="00A31118" w:rsidRDefault="000759F0" w:rsidP="0063097B">
      <w:pPr>
        <w:rPr>
          <w:rFonts w:ascii="Arial" w:hAnsi="Arial"/>
          <w:sz w:val="20"/>
          <w:szCs w:val="20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654"/>
        <w:gridCol w:w="1843"/>
      </w:tblGrid>
      <w:tr w:rsidR="0063097B" w:rsidRPr="00A31118" w14:paraId="32968C99" w14:textId="77777777" w:rsidTr="000759F0">
        <w:tc>
          <w:tcPr>
            <w:tcW w:w="5654" w:type="dxa"/>
          </w:tcPr>
          <w:p w14:paraId="4648B4D1" w14:textId="4B11252C" w:rsidR="0063097B" w:rsidRPr="00A31118" w:rsidRDefault="000759F0" w:rsidP="008304DE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Soubor vyšetření NAT obsahuje následující testy:</w:t>
            </w:r>
          </w:p>
        </w:tc>
        <w:tc>
          <w:tcPr>
            <w:tcW w:w="1843" w:type="dxa"/>
          </w:tcPr>
          <w:p w14:paraId="6E4D9D40" w14:textId="3C4A1051" w:rsidR="0063097B" w:rsidRPr="00A31118" w:rsidRDefault="0063097B" w:rsidP="008304DE">
            <w:pPr>
              <w:pStyle w:val="Standard"/>
              <w:spacing w:before="6"/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Předpokládaný počet vyšetření za rok</w:t>
            </w:r>
          </w:p>
        </w:tc>
      </w:tr>
      <w:tr w:rsidR="0063097B" w:rsidRPr="00A31118" w14:paraId="22A2CBEB" w14:textId="77777777" w:rsidTr="000759F0">
        <w:tc>
          <w:tcPr>
            <w:tcW w:w="5654" w:type="dxa"/>
          </w:tcPr>
          <w:p w14:paraId="549C963C" w14:textId="04C59FF3" w:rsidR="0063097B" w:rsidRPr="00A31118" w:rsidRDefault="000759F0" w:rsidP="008304DE">
            <w:pPr>
              <w:pStyle w:val="Standard"/>
              <w:spacing w:before="6"/>
              <w:rPr>
                <w:rFonts w:ascii="Arial" w:hAnsi="Arial"/>
                <w:b/>
                <w:sz w:val="20"/>
                <w:szCs w:val="20"/>
              </w:rPr>
            </w:pPr>
            <w:r w:rsidRPr="00A31118">
              <w:rPr>
                <w:rFonts w:ascii="Arial" w:hAnsi="Arial"/>
                <w:b/>
                <w:sz w:val="20"/>
                <w:szCs w:val="20"/>
              </w:rPr>
              <w:t>vyšetření suroviny k dalšímu zpracování:</w:t>
            </w:r>
          </w:p>
        </w:tc>
        <w:tc>
          <w:tcPr>
            <w:tcW w:w="1843" w:type="dxa"/>
          </w:tcPr>
          <w:p w14:paraId="163C4EAC" w14:textId="296F13C2" w:rsidR="0063097B" w:rsidRPr="00A31118" w:rsidRDefault="0063097B" w:rsidP="008304DE">
            <w:pPr>
              <w:pStyle w:val="Standard"/>
              <w:spacing w:before="6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737C9074" w14:textId="77777777" w:rsidTr="000759F0">
        <w:tc>
          <w:tcPr>
            <w:tcW w:w="5654" w:type="dxa"/>
            <w:vAlign w:val="center"/>
          </w:tcPr>
          <w:p w14:paraId="5A75A905" w14:textId="5C21AEDC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HBV DNA (NAT), pool 96 vzorků</w:t>
            </w:r>
          </w:p>
        </w:tc>
        <w:tc>
          <w:tcPr>
            <w:tcW w:w="1843" w:type="dxa"/>
          </w:tcPr>
          <w:p w14:paraId="6EE21CED" w14:textId="192E89F4" w:rsidR="0063097B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13 500</w:t>
            </w:r>
          </w:p>
        </w:tc>
      </w:tr>
      <w:tr w:rsidR="0063097B" w:rsidRPr="00A31118" w14:paraId="4FAE6294" w14:textId="77777777" w:rsidTr="000759F0">
        <w:tc>
          <w:tcPr>
            <w:tcW w:w="5654" w:type="dxa"/>
            <w:vAlign w:val="center"/>
          </w:tcPr>
          <w:p w14:paraId="0CBEA2C3" w14:textId="315373A6" w:rsidR="0063097B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HCV RNA (NAT), pool 96 vzorků</w:t>
            </w:r>
            <w:r w:rsidRPr="00A31118">
              <w:rPr>
                <w:rFonts w:ascii="Arial" w:hAnsi="Arial"/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14:paraId="0876C69E" w14:textId="2555C335" w:rsidR="0063097B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13 500</w:t>
            </w:r>
          </w:p>
        </w:tc>
      </w:tr>
      <w:tr w:rsidR="0063097B" w:rsidRPr="00A31118" w14:paraId="783A2B4D" w14:textId="77777777" w:rsidTr="000759F0">
        <w:tc>
          <w:tcPr>
            <w:tcW w:w="5654" w:type="dxa"/>
            <w:vAlign w:val="center"/>
          </w:tcPr>
          <w:p w14:paraId="7008B708" w14:textId="35E688B9" w:rsidR="0063097B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color w:val="000000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HIV 1, 2 RNA (NAT), pool 96 vzorků</w:t>
            </w:r>
          </w:p>
        </w:tc>
        <w:tc>
          <w:tcPr>
            <w:tcW w:w="1843" w:type="dxa"/>
          </w:tcPr>
          <w:p w14:paraId="1962A3FF" w14:textId="662E97E7" w:rsidR="0063097B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13 500</w:t>
            </w:r>
          </w:p>
        </w:tc>
      </w:tr>
      <w:tr w:rsidR="0063097B" w:rsidRPr="00A31118" w14:paraId="00A5E47D" w14:textId="77777777" w:rsidTr="000759F0">
        <w:tc>
          <w:tcPr>
            <w:tcW w:w="5654" w:type="dxa"/>
            <w:vAlign w:val="center"/>
          </w:tcPr>
          <w:p w14:paraId="6A9C159E" w14:textId="1986BEAC" w:rsidR="0063097B" w:rsidRPr="00A31118" w:rsidRDefault="000759F0" w:rsidP="008304DE">
            <w:pPr>
              <w:pStyle w:val="Standard"/>
              <w:spacing w:before="6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b/>
                <w:sz w:val="20"/>
                <w:szCs w:val="20"/>
              </w:rPr>
              <w:t>testování dárců krve a jejich složek pro klinické použití:</w:t>
            </w:r>
          </w:p>
        </w:tc>
        <w:tc>
          <w:tcPr>
            <w:tcW w:w="1843" w:type="dxa"/>
          </w:tcPr>
          <w:p w14:paraId="00F636ED" w14:textId="742CA783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6679BD14" w14:textId="77777777" w:rsidTr="000759F0">
        <w:tc>
          <w:tcPr>
            <w:tcW w:w="5654" w:type="dxa"/>
            <w:vAlign w:val="center"/>
          </w:tcPr>
          <w:p w14:paraId="773B4056" w14:textId="4667229D" w:rsidR="0063097B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HBV DNA (NAT), pool max. 8 vzorků</w:t>
            </w:r>
          </w:p>
        </w:tc>
        <w:tc>
          <w:tcPr>
            <w:tcW w:w="1843" w:type="dxa"/>
          </w:tcPr>
          <w:p w14:paraId="37202009" w14:textId="2664E16F" w:rsidR="0063097B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28 000</w:t>
            </w:r>
          </w:p>
        </w:tc>
      </w:tr>
      <w:tr w:rsidR="000759F0" w:rsidRPr="00A31118" w14:paraId="72DB154F" w14:textId="77777777" w:rsidTr="000759F0">
        <w:tc>
          <w:tcPr>
            <w:tcW w:w="5654" w:type="dxa"/>
            <w:vAlign w:val="center"/>
          </w:tcPr>
          <w:p w14:paraId="153E612D" w14:textId="1D9B849E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HCV RNA (NAT), pool max. 8 vzorků</w:t>
            </w:r>
          </w:p>
        </w:tc>
        <w:tc>
          <w:tcPr>
            <w:tcW w:w="1843" w:type="dxa"/>
          </w:tcPr>
          <w:p w14:paraId="1522CB39" w14:textId="29865B3F" w:rsidR="000759F0" w:rsidRPr="00A31118" w:rsidRDefault="000759F0" w:rsidP="000759F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28 000</w:t>
            </w:r>
          </w:p>
        </w:tc>
      </w:tr>
      <w:tr w:rsidR="000759F0" w:rsidRPr="00A31118" w14:paraId="31FAC6CF" w14:textId="77777777" w:rsidTr="000759F0">
        <w:tc>
          <w:tcPr>
            <w:tcW w:w="5654" w:type="dxa"/>
            <w:vAlign w:val="center"/>
          </w:tcPr>
          <w:p w14:paraId="59CD5C1A" w14:textId="051A6487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HIV 1,2 RNA (NAT), pool max. 8 vzorků</w:t>
            </w:r>
            <w:r w:rsidRPr="00A31118">
              <w:rPr>
                <w:rFonts w:ascii="Arial" w:hAnsi="Arial"/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14:paraId="36533A92" w14:textId="22674EDD" w:rsidR="000759F0" w:rsidRPr="00A31118" w:rsidRDefault="000759F0" w:rsidP="000759F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28 000</w:t>
            </w:r>
          </w:p>
        </w:tc>
      </w:tr>
      <w:tr w:rsidR="000759F0" w:rsidRPr="00A31118" w14:paraId="4A93B1E2" w14:textId="77777777" w:rsidTr="000759F0">
        <w:tc>
          <w:tcPr>
            <w:tcW w:w="5654" w:type="dxa"/>
            <w:vAlign w:val="center"/>
          </w:tcPr>
          <w:p w14:paraId="1E70A393" w14:textId="08A1C53D" w:rsidR="000759F0" w:rsidRPr="00A31118" w:rsidRDefault="000759F0" w:rsidP="008304DE">
            <w:pPr>
              <w:pStyle w:val="Standard"/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b/>
                <w:sz w:val="20"/>
                <w:szCs w:val="20"/>
              </w:rPr>
              <w:t>NAT IDT (jednotlivě vyšetřované vzorky):</w:t>
            </w:r>
          </w:p>
        </w:tc>
        <w:tc>
          <w:tcPr>
            <w:tcW w:w="1843" w:type="dxa"/>
          </w:tcPr>
          <w:p w14:paraId="623FF480" w14:textId="77777777" w:rsidR="000759F0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759F0" w:rsidRPr="00A31118" w14:paraId="3D77C04E" w14:textId="77777777" w:rsidTr="000759F0">
        <w:tc>
          <w:tcPr>
            <w:tcW w:w="5654" w:type="dxa"/>
            <w:vAlign w:val="center"/>
          </w:tcPr>
          <w:p w14:paraId="1F1C0DB6" w14:textId="6F6C26AC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HBV DNA (NAT), IDT</w:t>
            </w:r>
          </w:p>
        </w:tc>
        <w:tc>
          <w:tcPr>
            <w:tcW w:w="1843" w:type="dxa"/>
          </w:tcPr>
          <w:p w14:paraId="1246B418" w14:textId="39403E6B" w:rsidR="000759F0" w:rsidRPr="00A31118" w:rsidRDefault="000759F0" w:rsidP="000759F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250</w:t>
            </w:r>
          </w:p>
        </w:tc>
      </w:tr>
      <w:tr w:rsidR="000759F0" w:rsidRPr="00A31118" w14:paraId="6178182B" w14:textId="77777777" w:rsidTr="000759F0">
        <w:trPr>
          <w:trHeight w:val="143"/>
        </w:trPr>
        <w:tc>
          <w:tcPr>
            <w:tcW w:w="5654" w:type="dxa"/>
            <w:vAlign w:val="center"/>
          </w:tcPr>
          <w:p w14:paraId="36194408" w14:textId="1A210A70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HCV RNA (NAT), IDT</w:t>
            </w:r>
          </w:p>
        </w:tc>
        <w:tc>
          <w:tcPr>
            <w:tcW w:w="1843" w:type="dxa"/>
          </w:tcPr>
          <w:p w14:paraId="0253BCA1" w14:textId="4A5EAD8C" w:rsidR="000759F0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250</w:t>
            </w:r>
          </w:p>
        </w:tc>
      </w:tr>
      <w:tr w:rsidR="000759F0" w:rsidRPr="00A31118" w14:paraId="2F85B6A3" w14:textId="77777777" w:rsidTr="000759F0">
        <w:tc>
          <w:tcPr>
            <w:tcW w:w="5654" w:type="dxa"/>
            <w:vAlign w:val="center"/>
          </w:tcPr>
          <w:p w14:paraId="574425DA" w14:textId="6BFDC88D" w:rsidR="000759F0" w:rsidRPr="00A31118" w:rsidRDefault="000759F0" w:rsidP="000759F0">
            <w:pPr>
              <w:pStyle w:val="Standard"/>
              <w:numPr>
                <w:ilvl w:val="0"/>
                <w:numId w:val="14"/>
              </w:numPr>
              <w:spacing w:before="6"/>
              <w:rPr>
                <w:rFonts w:ascii="Arial" w:hAnsi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HIV 1,2 RNA (NAT), IDT</w:t>
            </w:r>
          </w:p>
        </w:tc>
        <w:tc>
          <w:tcPr>
            <w:tcW w:w="1843" w:type="dxa"/>
          </w:tcPr>
          <w:p w14:paraId="6C6D132E" w14:textId="5184A229" w:rsidR="000759F0" w:rsidRPr="00A31118" w:rsidRDefault="000759F0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250</w:t>
            </w:r>
          </w:p>
        </w:tc>
      </w:tr>
    </w:tbl>
    <w:p w14:paraId="255D5E01" w14:textId="77777777" w:rsidR="0063097B" w:rsidRPr="00A31118" w:rsidRDefault="0063097B" w:rsidP="0063097B">
      <w:pPr>
        <w:rPr>
          <w:rFonts w:ascii="Arial" w:hAnsi="Arial"/>
          <w:b/>
          <w:sz w:val="20"/>
          <w:szCs w:val="20"/>
        </w:rPr>
      </w:pPr>
    </w:p>
    <w:p w14:paraId="09EC1F8A" w14:textId="77777777" w:rsidR="0063097B" w:rsidRPr="00A31118" w:rsidRDefault="0063097B" w:rsidP="0063097B">
      <w:pPr>
        <w:rPr>
          <w:rFonts w:ascii="Arial" w:hAnsi="Arial"/>
          <w:b/>
          <w:sz w:val="20"/>
          <w:szCs w:val="20"/>
        </w:rPr>
      </w:pPr>
    </w:p>
    <w:p w14:paraId="26C41F6F" w14:textId="4C3BEDF1" w:rsidR="0063097B" w:rsidRPr="00A31118" w:rsidRDefault="008C58E5" w:rsidP="0063097B">
      <w:pPr>
        <w:rPr>
          <w:rFonts w:ascii="Arial" w:hAnsi="Arial"/>
          <w:b/>
          <w:sz w:val="20"/>
          <w:szCs w:val="20"/>
        </w:rPr>
      </w:pPr>
      <w:r w:rsidRPr="00A31118">
        <w:rPr>
          <w:rFonts w:ascii="Arial" w:hAnsi="Arial"/>
          <w:b/>
          <w:sz w:val="20"/>
          <w:szCs w:val="20"/>
        </w:rPr>
        <w:t>Přímá detekce virové RNA/DNA (vyšetřování nukleových kyselin, NAT)</w:t>
      </w:r>
    </w:p>
    <w:p w14:paraId="32241962" w14:textId="77777777" w:rsidR="008C58E5" w:rsidRPr="00A31118" w:rsidRDefault="008C58E5" w:rsidP="0063097B">
      <w:pPr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</w:p>
    <w:p w14:paraId="4CF6B892" w14:textId="77777777" w:rsidR="0063097B" w:rsidRPr="00A31118" w:rsidRDefault="0063097B" w:rsidP="0063097B">
      <w:pPr>
        <w:suppressAutoHyphens w:val="0"/>
        <w:spacing w:after="200" w:line="276" w:lineRule="auto"/>
        <w:textAlignment w:val="auto"/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</w:pPr>
      <w:r w:rsidRPr="00A31118">
        <w:rPr>
          <w:rFonts w:ascii="Arial" w:eastAsia="Calibri" w:hAnsi="Arial"/>
          <w:kern w:val="0"/>
          <w:sz w:val="20"/>
          <w:szCs w:val="20"/>
          <w:u w:val="single"/>
          <w:lang w:eastAsia="en-US" w:bidi="ar-SA"/>
        </w:rPr>
        <w:t>Požadované minimální technické a uživatelské parametry a vlastnosti:</w:t>
      </w:r>
    </w:p>
    <w:tbl>
      <w:tblPr>
        <w:tblStyle w:val="Mkatabulky"/>
        <w:tblW w:w="8064" w:type="dxa"/>
        <w:tblInd w:w="720" w:type="dxa"/>
        <w:tblLook w:val="04A0" w:firstRow="1" w:lastRow="0" w:firstColumn="1" w:lastColumn="0" w:noHBand="0" w:noVBand="1"/>
      </w:tblPr>
      <w:tblGrid>
        <w:gridCol w:w="5938"/>
        <w:gridCol w:w="2126"/>
      </w:tblGrid>
      <w:tr w:rsidR="0063097B" w:rsidRPr="00A31118" w14:paraId="01BA3595" w14:textId="77777777" w:rsidTr="00FE272D">
        <w:tc>
          <w:tcPr>
            <w:tcW w:w="5938" w:type="dxa"/>
          </w:tcPr>
          <w:p w14:paraId="30138B50" w14:textId="77777777" w:rsidR="0063097B" w:rsidRPr="00A31118" w:rsidRDefault="0063097B" w:rsidP="008304DE">
            <w:pPr>
              <w:pStyle w:val="Odstavecseseznamem"/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D44078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A31118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Ano/Ne</w:t>
            </w:r>
          </w:p>
        </w:tc>
      </w:tr>
      <w:tr w:rsidR="00201B53" w:rsidRPr="00A31118" w14:paraId="4311993F" w14:textId="77777777" w:rsidTr="00FE272D">
        <w:tc>
          <w:tcPr>
            <w:tcW w:w="5938" w:type="dxa"/>
          </w:tcPr>
          <w:p w14:paraId="41A106B4" w14:textId="1F995B29" w:rsidR="00201B53" w:rsidRPr="00A31118" w:rsidRDefault="00201B53" w:rsidP="004B0F63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Plně automatický analyzátor</w:t>
            </w:r>
          </w:p>
        </w:tc>
        <w:tc>
          <w:tcPr>
            <w:tcW w:w="2126" w:type="dxa"/>
          </w:tcPr>
          <w:p w14:paraId="598AF624" w14:textId="77777777" w:rsidR="00201B53" w:rsidRPr="00A31118" w:rsidRDefault="00201B53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4EDDCC3" w14:textId="77777777" w:rsidTr="00FE272D">
        <w:tc>
          <w:tcPr>
            <w:tcW w:w="5938" w:type="dxa"/>
          </w:tcPr>
          <w:p w14:paraId="5FA63D83" w14:textId="3972E252" w:rsidR="0063097B" w:rsidRPr="00A31118" w:rsidRDefault="00201B5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Součástí sestavy musí být automatický rozpipeto</w:t>
            </w:r>
            <w:r w:rsidR="004B0F63" w:rsidRPr="00A31118">
              <w:rPr>
                <w:rFonts w:ascii="Arial" w:hAnsi="Arial" w:cs="Arial"/>
                <w:sz w:val="20"/>
                <w:szCs w:val="20"/>
              </w:rPr>
              <w:t>vá</w:t>
            </w:r>
            <w:r w:rsidRPr="00A31118">
              <w:rPr>
                <w:rFonts w:ascii="Arial" w:hAnsi="Arial" w:cs="Arial"/>
                <w:sz w:val="20"/>
                <w:szCs w:val="20"/>
              </w:rPr>
              <w:t>vač (se schopností automatického poolování) s minimalizací křížové kontaminace.</w:t>
            </w:r>
          </w:p>
        </w:tc>
        <w:tc>
          <w:tcPr>
            <w:tcW w:w="2126" w:type="dxa"/>
          </w:tcPr>
          <w:p w14:paraId="0792C720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555E8099" w14:textId="77777777" w:rsidTr="00FE272D">
        <w:tc>
          <w:tcPr>
            <w:tcW w:w="5938" w:type="dxa"/>
          </w:tcPr>
          <w:p w14:paraId="543AD8EA" w14:textId="5204C08D" w:rsidR="0063097B" w:rsidRPr="00A31118" w:rsidRDefault="00201B5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Pool s možností automatického rozklíčování reaktivity.</w:t>
            </w:r>
          </w:p>
        </w:tc>
        <w:tc>
          <w:tcPr>
            <w:tcW w:w="2126" w:type="dxa"/>
          </w:tcPr>
          <w:p w14:paraId="70A06C0F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58383522" w14:textId="77777777" w:rsidTr="00FE272D">
        <w:tc>
          <w:tcPr>
            <w:tcW w:w="5938" w:type="dxa"/>
          </w:tcPr>
          <w:p w14:paraId="25783EE2" w14:textId="3BFFF22E" w:rsidR="0063097B" w:rsidRPr="00A31118" w:rsidRDefault="00201B53" w:rsidP="009413E6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Detekce a rozlišení virové kontaminace HCV RNA, HIV RNA, HBV DNA</w:t>
            </w:r>
            <w:r w:rsidR="005E7C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1111AA7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1C0798BB" w14:textId="77777777" w:rsidTr="00FE272D">
        <w:tc>
          <w:tcPr>
            <w:tcW w:w="5938" w:type="dxa"/>
          </w:tcPr>
          <w:p w14:paraId="7F5B4997" w14:textId="2E973190" w:rsidR="0063097B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lastRenderedPageBreak/>
              <w:t>Musí umožňovat nastavení vyšetření v různých poolech a současné zpracování vzorků v různých poolech, včetně IDT.</w:t>
            </w:r>
          </w:p>
        </w:tc>
        <w:tc>
          <w:tcPr>
            <w:tcW w:w="2126" w:type="dxa"/>
          </w:tcPr>
          <w:p w14:paraId="6C2329CD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7BB3347C" w14:textId="77777777" w:rsidTr="00FE272D">
        <w:tc>
          <w:tcPr>
            <w:tcW w:w="5938" w:type="dxa"/>
          </w:tcPr>
          <w:p w14:paraId="6A7B1021" w14:textId="6D2477CF" w:rsidR="0063097B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Výkon</w:t>
            </w:r>
            <w:r w:rsidRPr="00A3111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minimálně 200 provedených vyšetření detekce virové RNA / DNA </w:t>
            </w:r>
            <w:r w:rsidR="002A44BA" w:rsidRPr="00A3111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(200 primárních vzorků) </w:t>
            </w:r>
            <w:r w:rsidRPr="00A3111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ve všech požadovaných základních parametrech (HIV, HBV, HCV) za jednu směnu (8 hod).  </w:t>
            </w:r>
          </w:p>
        </w:tc>
        <w:tc>
          <w:tcPr>
            <w:tcW w:w="2126" w:type="dxa"/>
          </w:tcPr>
          <w:p w14:paraId="0E26A5CC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6CA17697" w14:textId="77777777" w:rsidTr="00FE272D">
        <w:tc>
          <w:tcPr>
            <w:tcW w:w="5938" w:type="dxa"/>
          </w:tcPr>
          <w:p w14:paraId="24F16DCA" w14:textId="3DE110F5" w:rsidR="0063097B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První výsledek NAT vyšetření k dispozici max. do 3,5 hodiny od začátku analýzy.</w:t>
            </w:r>
          </w:p>
        </w:tc>
        <w:tc>
          <w:tcPr>
            <w:tcW w:w="2126" w:type="dxa"/>
          </w:tcPr>
          <w:p w14:paraId="5D0D91DB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579AC72D" w14:textId="77777777" w:rsidTr="00FE272D">
        <w:tc>
          <w:tcPr>
            <w:tcW w:w="5938" w:type="dxa"/>
          </w:tcPr>
          <w:p w14:paraId="094F7E9D" w14:textId="5179B4D9" w:rsidR="0063097B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tabs>
                <w:tab w:val="left" w:pos="107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Jednoznačná identifikace vzorků i reagencií (např. čárovým kódem, QR kódem, RFID apod.).</w:t>
            </w:r>
          </w:p>
        </w:tc>
        <w:tc>
          <w:tcPr>
            <w:tcW w:w="2126" w:type="dxa"/>
          </w:tcPr>
          <w:p w14:paraId="49B8F4F9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63097B" w:rsidRPr="00A31118" w14:paraId="5CB0DFD2" w14:textId="77777777" w:rsidTr="00FE272D">
        <w:tc>
          <w:tcPr>
            <w:tcW w:w="5938" w:type="dxa"/>
          </w:tcPr>
          <w:p w14:paraId="67D7F791" w14:textId="5680A137" w:rsidR="0063097B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  <w:lang w:eastAsia="cs-CZ"/>
              </w:rPr>
              <w:t>Reagencie k přímému vložení do analyzátoru bez dalších přípravných kroků (ready to use, vyjma temperování).</w:t>
            </w:r>
          </w:p>
        </w:tc>
        <w:tc>
          <w:tcPr>
            <w:tcW w:w="2126" w:type="dxa"/>
          </w:tcPr>
          <w:p w14:paraId="634156EE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63097B" w:rsidRPr="00A31118" w14:paraId="12579EFF" w14:textId="77777777" w:rsidTr="00FE272D">
        <w:tc>
          <w:tcPr>
            <w:tcW w:w="5938" w:type="dxa"/>
          </w:tcPr>
          <w:p w14:paraId="4A16EA1D" w14:textId="65FA90F6" w:rsidR="004B0F63" w:rsidRPr="00A31118" w:rsidRDefault="004B0F63" w:rsidP="004B0F63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bCs/>
                <w:iCs/>
                <w:sz w:val="20"/>
                <w:szCs w:val="20"/>
              </w:rPr>
              <w:t>Musí umožňovat skladování reagencií v analyzátoru mezi vyšetřovacími cykly - temperovaný prostor pro skladování reagencií přímo na palubě analyzátoru.</w:t>
            </w:r>
          </w:p>
          <w:p w14:paraId="088762B2" w14:textId="3D22238D" w:rsidR="0063097B" w:rsidRPr="00A31118" w:rsidRDefault="004B0F63" w:rsidP="00B31D60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Obousměrná komunikace s LIS (TIS)</w:t>
            </w:r>
            <w:r w:rsidR="00456014">
              <w:rPr>
                <w:rFonts w:ascii="Arial" w:hAnsi="Arial" w:cs="Arial"/>
                <w:sz w:val="20"/>
                <w:szCs w:val="20"/>
              </w:rPr>
              <w:t xml:space="preserve"> tj. </w:t>
            </w:r>
            <w:r w:rsidR="00456014">
              <w:rPr>
                <w:rFonts w:ascii="Arial" w:hAnsi="Arial"/>
                <w:bCs/>
                <w:iCs/>
                <w:sz w:val="20"/>
                <w:szCs w:val="20"/>
              </w:rPr>
              <w:t>IS Amadeu</w:t>
            </w:r>
            <w:r w:rsidR="00490432">
              <w:rPr>
                <w:rFonts w:ascii="Arial" w:hAnsi="Arial"/>
                <w:bCs/>
                <w:iCs/>
                <w:sz w:val="20"/>
                <w:szCs w:val="20"/>
              </w:rPr>
              <w:t>s</w:t>
            </w:r>
            <w:r w:rsidRPr="00A31118">
              <w:rPr>
                <w:rFonts w:ascii="Arial" w:hAnsi="Arial" w:cs="Arial"/>
                <w:sz w:val="20"/>
                <w:szCs w:val="20"/>
              </w:rPr>
              <w:t>. Poplatek za připojení je součástí nabídky.</w:t>
            </w:r>
            <w:r w:rsidR="004560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CE1ED40" w14:textId="77777777" w:rsidR="0063097B" w:rsidRPr="00A31118" w:rsidRDefault="0063097B" w:rsidP="008304DE">
            <w:pPr>
              <w:jc w:val="center"/>
              <w:rPr>
                <w:rFonts w:ascii="Arial" w:hAnsi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63097B" w:rsidRPr="00A31118" w14:paraId="12E54EA0" w14:textId="77777777" w:rsidTr="00FE272D">
        <w:tc>
          <w:tcPr>
            <w:tcW w:w="5938" w:type="dxa"/>
          </w:tcPr>
          <w:p w14:paraId="467B61F2" w14:textId="49BD0A50" w:rsidR="0063097B" w:rsidRPr="00A31118" w:rsidRDefault="004B0F63" w:rsidP="004B0F63">
            <w:pPr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Požadované citlivosti na základě vyhlášky 143/2008 sb. ve znění pozdějších předpisů:</w:t>
            </w:r>
          </w:p>
        </w:tc>
        <w:tc>
          <w:tcPr>
            <w:tcW w:w="2126" w:type="dxa"/>
          </w:tcPr>
          <w:p w14:paraId="06695B6E" w14:textId="77777777" w:rsidR="0063097B" w:rsidRPr="00A31118" w:rsidRDefault="0063097B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63097B" w:rsidRPr="00A31118" w14:paraId="4C229F96" w14:textId="77777777" w:rsidTr="00FE272D">
        <w:tc>
          <w:tcPr>
            <w:tcW w:w="5938" w:type="dxa"/>
          </w:tcPr>
          <w:p w14:paraId="0206046E" w14:textId="11756B3F" w:rsidR="0063097B" w:rsidRPr="00A31118" w:rsidRDefault="004B0F63" w:rsidP="00C77792">
            <w:pPr>
              <w:pStyle w:val="Default"/>
              <w:ind w:left="7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A31118">
              <w:rPr>
                <w:rFonts w:ascii="Arial" w:eastAsia="Calibri" w:hAnsi="Arial" w:cs="Arial"/>
                <w:color w:val="auto"/>
                <w:sz w:val="20"/>
                <w:szCs w:val="20"/>
              </w:rPr>
              <w:t>a) u odběrů pro výrobu transfuzních přípravků metodami s prokazatelnou citlivostí ve výchozím vzorku alespoň</w:t>
            </w:r>
          </w:p>
        </w:tc>
        <w:tc>
          <w:tcPr>
            <w:tcW w:w="2126" w:type="dxa"/>
          </w:tcPr>
          <w:p w14:paraId="3BE49B32" w14:textId="77777777" w:rsidR="0063097B" w:rsidRPr="00A31118" w:rsidRDefault="0063097B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C77792" w:rsidRPr="00A31118" w14:paraId="68AA1756" w14:textId="77777777" w:rsidTr="00FE272D">
        <w:tc>
          <w:tcPr>
            <w:tcW w:w="5938" w:type="dxa"/>
          </w:tcPr>
          <w:p w14:paraId="4AF23E5E" w14:textId="46ABA0FB" w:rsidR="00C77792" w:rsidRPr="00A31118" w:rsidRDefault="00C77792" w:rsidP="00C77792">
            <w:pPr>
              <w:pStyle w:val="Odstavecseseznamem"/>
              <w:numPr>
                <w:ilvl w:val="2"/>
                <w:numId w:val="20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500 IU/ml při stanovení HIV RNA</w:t>
            </w:r>
          </w:p>
        </w:tc>
        <w:tc>
          <w:tcPr>
            <w:tcW w:w="2126" w:type="dxa"/>
          </w:tcPr>
          <w:p w14:paraId="4A4F8B91" w14:textId="77777777" w:rsidR="00C77792" w:rsidRPr="00A31118" w:rsidRDefault="00C77792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C77792" w:rsidRPr="00A31118" w14:paraId="2EBEB785" w14:textId="77777777" w:rsidTr="00FE272D">
        <w:tc>
          <w:tcPr>
            <w:tcW w:w="5938" w:type="dxa"/>
          </w:tcPr>
          <w:p w14:paraId="604E1A07" w14:textId="7EA324C1" w:rsidR="00C77792" w:rsidRPr="00A31118" w:rsidRDefault="00C77792" w:rsidP="00C77792">
            <w:pPr>
              <w:pStyle w:val="Odstavecseseznamem"/>
              <w:numPr>
                <w:ilvl w:val="2"/>
                <w:numId w:val="20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35 IU/ml při stanovení HBV DNA</w:t>
            </w:r>
          </w:p>
        </w:tc>
        <w:tc>
          <w:tcPr>
            <w:tcW w:w="2126" w:type="dxa"/>
          </w:tcPr>
          <w:p w14:paraId="2F496BF1" w14:textId="77777777" w:rsidR="00C77792" w:rsidRPr="00A31118" w:rsidRDefault="00C77792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C77792" w:rsidRPr="00A31118" w14:paraId="6D007803" w14:textId="77777777" w:rsidTr="00FE272D">
        <w:tc>
          <w:tcPr>
            <w:tcW w:w="5938" w:type="dxa"/>
          </w:tcPr>
          <w:p w14:paraId="65934148" w14:textId="1556DC80" w:rsidR="00C77792" w:rsidRPr="00A31118" w:rsidRDefault="00C77792" w:rsidP="00C77792">
            <w:pPr>
              <w:pStyle w:val="Odstavecseseznamem"/>
              <w:numPr>
                <w:ilvl w:val="2"/>
                <w:numId w:val="20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150 IU/ml při stanovení HCV RNA</w:t>
            </w:r>
          </w:p>
        </w:tc>
        <w:tc>
          <w:tcPr>
            <w:tcW w:w="2126" w:type="dxa"/>
          </w:tcPr>
          <w:p w14:paraId="5D3C4A6F" w14:textId="77777777" w:rsidR="00C77792" w:rsidRPr="00A31118" w:rsidRDefault="00C77792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C77792" w:rsidRPr="00A31118" w14:paraId="4B8274D0" w14:textId="77777777" w:rsidTr="00FE272D">
        <w:tc>
          <w:tcPr>
            <w:tcW w:w="5938" w:type="dxa"/>
          </w:tcPr>
          <w:p w14:paraId="4738D83F" w14:textId="32718A09" w:rsidR="00C77792" w:rsidRPr="00A31118" w:rsidRDefault="00C77792" w:rsidP="00C77792">
            <w:pPr>
              <w:pStyle w:val="Default"/>
              <w:ind w:left="720"/>
              <w:jc w:val="both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A31118">
              <w:rPr>
                <w:rFonts w:ascii="Arial" w:eastAsia="Calibri" w:hAnsi="Arial" w:cs="Arial"/>
                <w:color w:val="auto"/>
                <w:sz w:val="20"/>
                <w:szCs w:val="20"/>
              </w:rPr>
              <w:t>b) u odběrů pro výrobu suroviny pro další zpracování metodami s prokazatelnou citlivostí ve výchozím vzorku alespoň</w:t>
            </w:r>
          </w:p>
        </w:tc>
        <w:tc>
          <w:tcPr>
            <w:tcW w:w="2126" w:type="dxa"/>
          </w:tcPr>
          <w:p w14:paraId="6ACCBD2E" w14:textId="77777777" w:rsidR="00C77792" w:rsidRPr="00A31118" w:rsidRDefault="00C77792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C77792" w:rsidRPr="00A31118" w14:paraId="6D99DD3E" w14:textId="77777777" w:rsidTr="00FE272D">
        <w:tc>
          <w:tcPr>
            <w:tcW w:w="5938" w:type="dxa"/>
          </w:tcPr>
          <w:p w14:paraId="66C82700" w14:textId="6C2C835D" w:rsidR="00C77792" w:rsidRPr="00A31118" w:rsidRDefault="00C77792" w:rsidP="00C77792">
            <w:pPr>
              <w:pStyle w:val="Odstavecseseznamem"/>
              <w:numPr>
                <w:ilvl w:val="2"/>
                <w:numId w:val="21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10 000 IU/ml při stanovení HIV RNA</w:t>
            </w:r>
          </w:p>
        </w:tc>
        <w:tc>
          <w:tcPr>
            <w:tcW w:w="2126" w:type="dxa"/>
          </w:tcPr>
          <w:p w14:paraId="278D2A3B" w14:textId="77777777" w:rsidR="00C77792" w:rsidRPr="00A31118" w:rsidRDefault="00C77792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63097B" w:rsidRPr="00A31118" w14:paraId="0F143EFC" w14:textId="77777777" w:rsidTr="00FE272D">
        <w:tc>
          <w:tcPr>
            <w:tcW w:w="5938" w:type="dxa"/>
          </w:tcPr>
          <w:p w14:paraId="675126D7" w14:textId="73CF9BE5" w:rsidR="0063097B" w:rsidRPr="00A31118" w:rsidRDefault="00C77792" w:rsidP="00C77792">
            <w:pPr>
              <w:pStyle w:val="Odstavecseseznamem"/>
              <w:numPr>
                <w:ilvl w:val="2"/>
                <w:numId w:val="21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500 IU/ml při stanovení HBV DNA</w:t>
            </w:r>
          </w:p>
        </w:tc>
        <w:tc>
          <w:tcPr>
            <w:tcW w:w="2126" w:type="dxa"/>
          </w:tcPr>
          <w:p w14:paraId="2F4BEEC8" w14:textId="77777777" w:rsidR="0063097B" w:rsidRPr="00A31118" w:rsidRDefault="0063097B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63097B" w:rsidRPr="00A31118" w14:paraId="0C071455" w14:textId="77777777" w:rsidTr="00FE272D">
        <w:tc>
          <w:tcPr>
            <w:tcW w:w="5938" w:type="dxa"/>
          </w:tcPr>
          <w:p w14:paraId="16C0F23C" w14:textId="38B04CFD" w:rsidR="0063097B" w:rsidRPr="00A31118" w:rsidRDefault="00C77792" w:rsidP="00C77792">
            <w:pPr>
              <w:pStyle w:val="Odstavecseseznamem"/>
              <w:numPr>
                <w:ilvl w:val="2"/>
                <w:numId w:val="21"/>
              </w:num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5 000 IU/ml při stanovení HCV RNA</w:t>
            </w:r>
          </w:p>
        </w:tc>
        <w:tc>
          <w:tcPr>
            <w:tcW w:w="2126" w:type="dxa"/>
          </w:tcPr>
          <w:p w14:paraId="0319B37A" w14:textId="77777777" w:rsidR="0063097B" w:rsidRPr="00A31118" w:rsidRDefault="0063097B" w:rsidP="008304DE">
            <w:pPr>
              <w:jc w:val="center"/>
              <w:rPr>
                <w:rFonts w:ascii="Arial" w:hAnsi="Arial"/>
                <w:bCs/>
                <w:iCs/>
                <w:sz w:val="20"/>
                <w:szCs w:val="20"/>
              </w:rPr>
            </w:pPr>
          </w:p>
        </w:tc>
      </w:tr>
      <w:tr w:rsidR="0063097B" w:rsidRPr="00A31118" w14:paraId="2F958AC7" w14:textId="77777777" w:rsidTr="00FE272D">
        <w:trPr>
          <w:trHeight w:val="163"/>
        </w:trPr>
        <w:tc>
          <w:tcPr>
            <w:tcW w:w="5938" w:type="dxa"/>
          </w:tcPr>
          <w:p w14:paraId="635AB6CB" w14:textId="77777777" w:rsidR="0063097B" w:rsidRPr="00A31118" w:rsidRDefault="0063097B" w:rsidP="008304DE">
            <w:pPr>
              <w:autoSpaceDN/>
              <w:contextualSpacing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31118">
              <w:rPr>
                <w:rFonts w:ascii="Arial" w:hAnsi="Arial"/>
                <w:b/>
                <w:bCs/>
                <w:sz w:val="20"/>
                <w:szCs w:val="20"/>
              </w:rPr>
              <w:t>Obecné požadavky:</w:t>
            </w:r>
          </w:p>
        </w:tc>
        <w:tc>
          <w:tcPr>
            <w:tcW w:w="2126" w:type="dxa"/>
          </w:tcPr>
          <w:p w14:paraId="2A238441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5BF8C30A" w14:textId="77777777" w:rsidTr="00FE272D">
        <w:tc>
          <w:tcPr>
            <w:tcW w:w="5938" w:type="dxa"/>
          </w:tcPr>
          <w:p w14:paraId="16F9D3FB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 xml:space="preserve">Diagnostika i přístroje musí splňovat požadavky pro in vitro diagnostika (IVDR) a musí být označeny značkou shody CE. </w:t>
            </w:r>
          </w:p>
        </w:tc>
        <w:tc>
          <w:tcPr>
            <w:tcW w:w="2126" w:type="dxa"/>
          </w:tcPr>
          <w:p w14:paraId="0945F5F1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62452542" w14:textId="77777777" w:rsidTr="00FE272D">
        <w:tc>
          <w:tcPr>
            <w:tcW w:w="5938" w:type="dxa"/>
          </w:tcPr>
          <w:p w14:paraId="715F4214" w14:textId="5E8CE5C4" w:rsidR="0063097B" w:rsidRPr="00A31118" w:rsidRDefault="008C58E5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lastRenderedPageBreak/>
              <w:t>Diagnostické soupravy musí být určeny k laboratornímu vyšetření vybraných krví přenosných infekcí přímou detekcí virové RNA/DNA (Nucleic Acid Test, NAT).</w:t>
            </w:r>
          </w:p>
        </w:tc>
        <w:tc>
          <w:tcPr>
            <w:tcW w:w="2126" w:type="dxa"/>
          </w:tcPr>
          <w:p w14:paraId="6E76E53C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4CC4D621" w14:textId="77777777" w:rsidTr="00FE272D">
        <w:tc>
          <w:tcPr>
            <w:tcW w:w="5938" w:type="dxa"/>
          </w:tcPr>
          <w:p w14:paraId="11B33590" w14:textId="5E57744E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Diagnostické soupravy musí být přímo určeny pro screening dárců krve, dárců tkání a dárců orgánů.</w:t>
            </w:r>
          </w:p>
        </w:tc>
        <w:tc>
          <w:tcPr>
            <w:tcW w:w="2126" w:type="dxa"/>
          </w:tcPr>
          <w:p w14:paraId="231A8DF6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DA14E13" w14:textId="77777777" w:rsidTr="00FE272D">
        <w:tc>
          <w:tcPr>
            <w:tcW w:w="5938" w:type="dxa"/>
          </w:tcPr>
          <w:p w14:paraId="36579FEF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Diagnostické soupravy a technologie musí splňovat podmínky správné výrobní praxe (SVP) v transfuzní službě a podmínky použití v České republice v souvislosti s poskytováním zdravotní péče, zejména ustanovení zákona č. 375/2022 Sb. o zdravotnických prostředcích. Tyto požadavky musí splňovat v době dodávky.</w:t>
            </w:r>
          </w:p>
        </w:tc>
        <w:tc>
          <w:tcPr>
            <w:tcW w:w="2126" w:type="dxa"/>
          </w:tcPr>
          <w:p w14:paraId="5A9F5589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1242130" w14:textId="77777777" w:rsidTr="00FE272D">
        <w:tc>
          <w:tcPr>
            <w:tcW w:w="5938" w:type="dxa"/>
          </w:tcPr>
          <w:p w14:paraId="7A692B83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Instalace technologie musí zajištěna na náklady dodavatele podle zásad SVP, dokumentovaná kvalifikace se musí provádět dle VYR-32.</w:t>
            </w:r>
          </w:p>
        </w:tc>
        <w:tc>
          <w:tcPr>
            <w:tcW w:w="2126" w:type="dxa"/>
          </w:tcPr>
          <w:p w14:paraId="2FB72C1D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34C5FFCB" w14:textId="77777777" w:rsidTr="00FE272D">
        <w:tc>
          <w:tcPr>
            <w:tcW w:w="5938" w:type="dxa"/>
          </w:tcPr>
          <w:p w14:paraId="021A0150" w14:textId="21C52B6E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 xml:space="preserve">Musí umožňovat vzdálenou správu </w:t>
            </w:r>
            <w:r w:rsidR="00D74BED" w:rsidRPr="00A31118">
              <w:rPr>
                <w:rFonts w:ascii="Arial" w:hAnsi="Arial" w:cs="Arial"/>
                <w:sz w:val="20"/>
                <w:szCs w:val="20"/>
              </w:rPr>
              <w:t>všech přístrojů</w:t>
            </w:r>
            <w:r w:rsidRPr="00A31118">
              <w:rPr>
                <w:rFonts w:ascii="Arial" w:hAnsi="Arial" w:cs="Arial"/>
                <w:sz w:val="20"/>
                <w:szCs w:val="20"/>
              </w:rPr>
              <w:t xml:space="preserve"> se servisní podporou dle pravidel zadavatele (viz bod níže - Obecné požadavky na provedení a kvalitu ICT)</w:t>
            </w:r>
          </w:p>
        </w:tc>
        <w:tc>
          <w:tcPr>
            <w:tcW w:w="2126" w:type="dxa"/>
          </w:tcPr>
          <w:p w14:paraId="3AB1097E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061670E0" w14:textId="77777777" w:rsidTr="00FE272D">
        <w:tc>
          <w:tcPr>
            <w:tcW w:w="5938" w:type="dxa"/>
          </w:tcPr>
          <w:p w14:paraId="2AF2D122" w14:textId="7E0DB37E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Zajištění servisního zásahu do 24 hodin od nahlášení závady, dostupnost servisní podpory v pracovních dnech 7.00-1</w:t>
            </w:r>
            <w:r w:rsidR="00D74BED" w:rsidRPr="00A31118">
              <w:rPr>
                <w:rFonts w:ascii="Arial" w:hAnsi="Arial" w:cs="Arial"/>
                <w:sz w:val="20"/>
                <w:szCs w:val="20"/>
              </w:rPr>
              <w:t>7</w:t>
            </w:r>
            <w:r w:rsidRPr="00A31118">
              <w:rPr>
                <w:rFonts w:ascii="Arial" w:hAnsi="Arial" w:cs="Arial"/>
                <w:sz w:val="20"/>
                <w:szCs w:val="20"/>
              </w:rPr>
              <w:t>.00 hod.</w:t>
            </w:r>
          </w:p>
        </w:tc>
        <w:tc>
          <w:tcPr>
            <w:tcW w:w="2126" w:type="dxa"/>
          </w:tcPr>
          <w:p w14:paraId="404DDCA5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9F7A228" w14:textId="77777777" w:rsidTr="00FE272D">
        <w:tc>
          <w:tcPr>
            <w:tcW w:w="5938" w:type="dxa"/>
          </w:tcPr>
          <w:p w14:paraId="25F4E711" w14:textId="2B001E2A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Všechny dodané technologie musí umožnit identifikaci primárních zkumavek čárovými kódy.</w:t>
            </w:r>
            <w:r w:rsidR="00195119" w:rsidRPr="00A31118">
              <w:rPr>
                <w:rFonts w:ascii="Arial" w:hAnsi="Arial" w:cs="Arial"/>
                <w:sz w:val="20"/>
                <w:szCs w:val="20"/>
              </w:rPr>
              <w:t xml:space="preserve"> Součástí dodávky je čtečka čárových kódů.</w:t>
            </w:r>
          </w:p>
        </w:tc>
        <w:tc>
          <w:tcPr>
            <w:tcW w:w="2126" w:type="dxa"/>
          </w:tcPr>
          <w:p w14:paraId="3F5138AA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19EA40B" w14:textId="77777777" w:rsidTr="00FE272D">
        <w:tc>
          <w:tcPr>
            <w:tcW w:w="5938" w:type="dxa"/>
          </w:tcPr>
          <w:p w14:paraId="1C14AE8D" w14:textId="2BB6D003" w:rsidR="0063097B" w:rsidRPr="00A31118" w:rsidRDefault="00D74BED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Musí umožňovat</w:t>
            </w:r>
            <w:r w:rsidR="0063097B" w:rsidRPr="00A31118">
              <w:rPr>
                <w:rFonts w:ascii="Arial" w:hAnsi="Arial" w:cs="Arial"/>
                <w:sz w:val="20"/>
                <w:szCs w:val="20"/>
              </w:rPr>
              <w:t xml:space="preserve"> elektronick</w:t>
            </w:r>
            <w:r w:rsidRPr="00A31118">
              <w:rPr>
                <w:rFonts w:ascii="Arial" w:hAnsi="Arial" w:cs="Arial"/>
                <w:sz w:val="20"/>
                <w:szCs w:val="20"/>
              </w:rPr>
              <w:t>ou</w:t>
            </w:r>
            <w:r w:rsidR="0063097B" w:rsidRPr="00A31118">
              <w:rPr>
                <w:rFonts w:ascii="Arial" w:hAnsi="Arial" w:cs="Arial"/>
                <w:sz w:val="20"/>
                <w:szCs w:val="20"/>
              </w:rPr>
              <w:t xml:space="preserve"> archivac</w:t>
            </w:r>
            <w:r w:rsidRPr="00A3111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3097B" w:rsidRPr="00A31118">
              <w:rPr>
                <w:rFonts w:ascii="Arial" w:hAnsi="Arial" w:cs="Arial"/>
                <w:sz w:val="20"/>
                <w:szCs w:val="20"/>
              </w:rPr>
              <w:t>dat dle požadavků SÚKL – VYR32 jako vlastní funkcionalita (návaznost na šarži použité reagencie) včetně data a času měření.</w:t>
            </w:r>
          </w:p>
        </w:tc>
        <w:tc>
          <w:tcPr>
            <w:tcW w:w="2126" w:type="dxa"/>
          </w:tcPr>
          <w:p w14:paraId="60791EC7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255D9C3F" w14:textId="77777777" w:rsidTr="00FE272D">
        <w:tc>
          <w:tcPr>
            <w:tcW w:w="5938" w:type="dxa"/>
          </w:tcPr>
          <w:p w14:paraId="14FE5BB9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Musí umožňovat ukládání informací o použitých šaržích reagencií a jejich exspiraci a zobrazení informace o zbývajícím objemu reagencií/zbývajícím počtu testů.</w:t>
            </w:r>
          </w:p>
        </w:tc>
        <w:tc>
          <w:tcPr>
            <w:tcW w:w="2126" w:type="dxa"/>
          </w:tcPr>
          <w:p w14:paraId="7D118D10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580DB2F5" w14:textId="77777777" w:rsidTr="00FE272D">
        <w:tc>
          <w:tcPr>
            <w:tcW w:w="5938" w:type="dxa"/>
          </w:tcPr>
          <w:p w14:paraId="133FD310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 xml:space="preserve">Analyzátory musí být nové (nerepasované). </w:t>
            </w:r>
          </w:p>
        </w:tc>
        <w:tc>
          <w:tcPr>
            <w:tcW w:w="2126" w:type="dxa"/>
          </w:tcPr>
          <w:p w14:paraId="1290CCCE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4B0F63" w:rsidRPr="00A31118" w14:paraId="7533829B" w14:textId="77777777" w:rsidTr="00FE272D">
        <w:tc>
          <w:tcPr>
            <w:tcW w:w="5938" w:type="dxa"/>
          </w:tcPr>
          <w:p w14:paraId="0AADCC21" w14:textId="65D606CC" w:rsidR="004B0F63" w:rsidRPr="00A31118" w:rsidRDefault="004B0F63" w:rsidP="00DA3C5B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Komunikace s LIS (TIS) a zajištění prostřednictvím odboru IT zadavatele připojení přístroje k LIS (TIS) pracoviš</w:t>
            </w:r>
            <w:r w:rsidR="00123EF1" w:rsidRPr="00A31118">
              <w:rPr>
                <w:rFonts w:ascii="Arial" w:hAnsi="Arial" w:cs="Arial"/>
                <w:sz w:val="20"/>
                <w:szCs w:val="20"/>
              </w:rPr>
              <w:t>tě</w:t>
            </w:r>
            <w:r w:rsidR="00D5739E">
              <w:rPr>
                <w:rFonts w:ascii="Arial" w:hAnsi="Arial" w:cs="Arial"/>
                <w:sz w:val="20"/>
                <w:szCs w:val="20"/>
              </w:rPr>
              <w:t xml:space="preserve"> tj. k </w:t>
            </w:r>
            <w:r w:rsidR="00DA3C5B">
              <w:rPr>
                <w:rFonts w:ascii="Arial" w:hAnsi="Arial"/>
                <w:bCs/>
                <w:iCs/>
                <w:sz w:val="20"/>
                <w:szCs w:val="20"/>
              </w:rPr>
              <w:t>IS Amadeus.</w:t>
            </w:r>
          </w:p>
        </w:tc>
        <w:tc>
          <w:tcPr>
            <w:tcW w:w="2126" w:type="dxa"/>
          </w:tcPr>
          <w:p w14:paraId="487CC237" w14:textId="77777777" w:rsidR="004B0F63" w:rsidRPr="00A31118" w:rsidRDefault="004B0F63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770B8FBB" w14:textId="77777777" w:rsidTr="00FE272D">
        <w:tc>
          <w:tcPr>
            <w:tcW w:w="5938" w:type="dxa"/>
          </w:tcPr>
          <w:p w14:paraId="20973CB8" w14:textId="241FD2EF" w:rsidR="0063097B" w:rsidRPr="00A31118" w:rsidRDefault="0063097B" w:rsidP="00D74BED">
            <w:pPr>
              <w:autoSpaceDN/>
              <w:contextualSpacing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Součástí dodávky analyzátorů je také</w:t>
            </w:r>
            <w:r w:rsidR="00D74BED" w:rsidRPr="00A31118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14:paraId="65011EE8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01637782" w14:textId="77777777" w:rsidTr="00FE272D">
        <w:tc>
          <w:tcPr>
            <w:tcW w:w="5938" w:type="dxa"/>
          </w:tcPr>
          <w:p w14:paraId="1195F6E4" w14:textId="2ABE4B1A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přiměřeně kapacitní úpravna vody, včetně její instalace v případě, že není pro provoz analyzátorů použitelná</w:t>
            </w:r>
            <w:bookmarkStart w:id="1" w:name="_GoBack"/>
            <w:bookmarkEnd w:id="1"/>
            <w:r w:rsidRPr="00A31118">
              <w:rPr>
                <w:rFonts w:ascii="Arial" w:hAnsi="Arial" w:cs="Arial"/>
                <w:sz w:val="20"/>
                <w:szCs w:val="20"/>
              </w:rPr>
              <w:t xml:space="preserve"> voda získaná reverzní osmózou</w:t>
            </w:r>
            <w:r w:rsidR="00D74BED" w:rsidRPr="00A31118">
              <w:rPr>
                <w:rFonts w:ascii="Arial" w:hAnsi="Arial" w:cs="Arial"/>
                <w:sz w:val="20"/>
                <w:szCs w:val="20"/>
              </w:rPr>
              <w:t xml:space="preserve"> (v případě potřeby)</w:t>
            </w:r>
            <w:r w:rsidR="00123EF1" w:rsidRPr="00A31118">
              <w:rPr>
                <w:rFonts w:ascii="Arial" w:hAnsi="Arial" w:cs="Arial"/>
                <w:sz w:val="20"/>
                <w:szCs w:val="20"/>
              </w:rPr>
              <w:t xml:space="preserve"> či je </w:t>
            </w:r>
            <w:r w:rsidR="00123EF1" w:rsidRPr="00A31118">
              <w:rPr>
                <w:rFonts w:ascii="Arial" w:hAnsi="Arial" w:cs="Arial"/>
                <w:sz w:val="20"/>
                <w:szCs w:val="20"/>
              </w:rPr>
              <w:lastRenderedPageBreak/>
              <w:t>vyžadováno napojení na zdroj vody (vzhledem ke spotřebě)</w:t>
            </w:r>
            <w:r w:rsidRPr="00A311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12D4957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0B985A0D" w14:textId="77777777" w:rsidTr="00FE272D">
        <w:tc>
          <w:tcPr>
            <w:tcW w:w="5938" w:type="dxa"/>
          </w:tcPr>
          <w:p w14:paraId="5FEC7517" w14:textId="757C2364" w:rsidR="0063097B" w:rsidRPr="00A31118" w:rsidRDefault="00F23CB1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="00CE41BC">
              <w:rPr>
                <w:rFonts w:ascii="Arial" w:hAnsi="Arial" w:cs="Arial"/>
                <w:sz w:val="20"/>
                <w:szCs w:val="20"/>
              </w:rPr>
              <w:t xml:space="preserve">a instalace </w:t>
            </w:r>
            <w:r w:rsidRPr="00A31118">
              <w:rPr>
                <w:rFonts w:ascii="Arial" w:hAnsi="Arial" w:cs="Arial"/>
                <w:sz w:val="20"/>
                <w:szCs w:val="20"/>
              </w:rPr>
              <w:t>záložního zdroje (UPS) tak, aby při výpadku el. proudu nedošlo k znehodnocení právě probíhající analýzy a ke ztrátě naměřených dat</w:t>
            </w:r>
          </w:p>
        </w:tc>
        <w:tc>
          <w:tcPr>
            <w:tcW w:w="2126" w:type="dxa"/>
          </w:tcPr>
          <w:p w14:paraId="0D54DC69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4A85A972" w14:textId="77777777" w:rsidTr="00FE272D">
        <w:tc>
          <w:tcPr>
            <w:tcW w:w="5938" w:type="dxa"/>
          </w:tcPr>
          <w:p w14:paraId="6EC35726" w14:textId="1C1FF14C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tiskárna</w:t>
            </w:r>
            <w:r w:rsidR="00CE41BC">
              <w:rPr>
                <w:rFonts w:ascii="Arial" w:hAnsi="Arial" w:cs="Arial"/>
                <w:sz w:val="20"/>
                <w:szCs w:val="20"/>
              </w:rPr>
              <w:t xml:space="preserve"> včetně její instalace</w:t>
            </w:r>
          </w:p>
        </w:tc>
        <w:tc>
          <w:tcPr>
            <w:tcW w:w="2126" w:type="dxa"/>
          </w:tcPr>
          <w:p w14:paraId="56F33002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4D0C6787" w14:textId="77777777" w:rsidTr="00FE272D">
        <w:tc>
          <w:tcPr>
            <w:tcW w:w="5938" w:type="dxa"/>
          </w:tcPr>
          <w:p w14:paraId="04C269C3" w14:textId="149C08FA" w:rsidR="0063097B" w:rsidRPr="00A31118" w:rsidRDefault="005775D1" w:rsidP="00D74BED">
            <w:pPr>
              <w:autoSpaceDN/>
              <w:contextualSpacing/>
              <w:rPr>
                <w:rFonts w:ascii="Arial" w:hAnsi="Arial"/>
                <w:sz w:val="20"/>
                <w:szCs w:val="20"/>
              </w:rPr>
            </w:pPr>
            <w:r w:rsidRPr="00A31118">
              <w:rPr>
                <w:rFonts w:ascii="Arial" w:hAnsi="Arial"/>
                <w:sz w:val="20"/>
                <w:szCs w:val="20"/>
              </w:rPr>
              <w:t>Účastník</w:t>
            </w:r>
            <w:r w:rsidR="0063097B" w:rsidRPr="00A31118">
              <w:rPr>
                <w:rFonts w:ascii="Arial" w:hAnsi="Arial"/>
                <w:sz w:val="20"/>
                <w:szCs w:val="20"/>
              </w:rPr>
              <w:t xml:space="preserve"> musí v rámci dodávky přístrojového vybavení:</w:t>
            </w:r>
          </w:p>
        </w:tc>
        <w:tc>
          <w:tcPr>
            <w:tcW w:w="2126" w:type="dxa"/>
          </w:tcPr>
          <w:p w14:paraId="31600E2B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6AF6B37A" w14:textId="77777777" w:rsidTr="00FE272D">
        <w:tc>
          <w:tcPr>
            <w:tcW w:w="5938" w:type="dxa"/>
          </w:tcPr>
          <w:p w14:paraId="6FEC9310" w14:textId="5EF407F0" w:rsidR="0063097B" w:rsidRPr="00A31118" w:rsidRDefault="0063097B" w:rsidP="00D74BED">
            <w:pPr>
              <w:pStyle w:val="Odstavecseseznamem"/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a)</w:t>
            </w:r>
            <w:r w:rsidRPr="00A31118">
              <w:rPr>
                <w:rFonts w:ascii="Arial" w:hAnsi="Arial" w:cs="Arial"/>
                <w:sz w:val="20"/>
                <w:szCs w:val="20"/>
              </w:rPr>
              <w:tab/>
              <w:t>upravit, v případě potřeby, pracoviště na své náklady tak, aby svými parametry vyhovovalo požadavkům na instalaci a provoz nabízeného přístrojového vybavení – dodávka a instalace klimatizační jednotky, přívodu elektrické energie, a dalších potřebných technologií</w:t>
            </w:r>
            <w:r w:rsidR="00A228A8" w:rsidRPr="00A31118">
              <w:rPr>
                <w:rFonts w:ascii="Arial" w:hAnsi="Arial" w:cs="Arial"/>
                <w:sz w:val="20"/>
                <w:szCs w:val="20"/>
              </w:rPr>
              <w:t xml:space="preserve"> - na základě prohlídky místa plnění</w:t>
            </w:r>
          </w:p>
        </w:tc>
        <w:tc>
          <w:tcPr>
            <w:tcW w:w="2126" w:type="dxa"/>
          </w:tcPr>
          <w:p w14:paraId="61D2B1AA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63B5996D" w14:textId="77777777" w:rsidTr="00FE272D">
        <w:tc>
          <w:tcPr>
            <w:tcW w:w="5938" w:type="dxa"/>
          </w:tcPr>
          <w:p w14:paraId="15503EAB" w14:textId="6862114B" w:rsidR="0063097B" w:rsidRPr="00A31118" w:rsidRDefault="0063097B" w:rsidP="00D74BED">
            <w:pPr>
              <w:pStyle w:val="Odstavecseseznamem"/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>b)</w:t>
            </w:r>
            <w:r w:rsidRPr="00A31118">
              <w:rPr>
                <w:rFonts w:ascii="Arial" w:hAnsi="Arial" w:cs="Arial"/>
                <w:sz w:val="20"/>
                <w:szCs w:val="20"/>
              </w:rPr>
              <w:tab/>
              <w:t>budou-li stavební úpravy nutné, předložit technický výkres návrhu úprav pracoviště včetně jejich podrobného popisu</w:t>
            </w:r>
            <w:r w:rsidR="00A228A8" w:rsidRPr="00A31118">
              <w:rPr>
                <w:rFonts w:ascii="Arial" w:hAnsi="Arial" w:cs="Arial"/>
                <w:sz w:val="20"/>
                <w:szCs w:val="20"/>
              </w:rPr>
              <w:t xml:space="preserve"> - na základě prohlídky místa plnění</w:t>
            </w:r>
          </w:p>
        </w:tc>
        <w:tc>
          <w:tcPr>
            <w:tcW w:w="2126" w:type="dxa"/>
          </w:tcPr>
          <w:p w14:paraId="4280D69A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3097B" w:rsidRPr="00A31118" w14:paraId="1190DCDA" w14:textId="77777777" w:rsidTr="00FE272D">
        <w:tc>
          <w:tcPr>
            <w:tcW w:w="5938" w:type="dxa"/>
          </w:tcPr>
          <w:p w14:paraId="48CBCF60" w14:textId="77777777" w:rsidR="0063097B" w:rsidRPr="00A31118" w:rsidRDefault="0063097B" w:rsidP="008304DE">
            <w:pPr>
              <w:pStyle w:val="Odstavecseseznamem"/>
              <w:numPr>
                <w:ilvl w:val="0"/>
                <w:numId w:val="15"/>
              </w:numPr>
              <w:autoSpaceDN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1118">
              <w:rPr>
                <w:rFonts w:ascii="Arial" w:hAnsi="Arial" w:cs="Arial"/>
                <w:sz w:val="20"/>
                <w:szCs w:val="20"/>
              </w:rPr>
              <w:t xml:space="preserve">Obecné požadavky na provedení a kvalitu ICT viz odkaz: </w:t>
            </w:r>
            <w:hyperlink r:id="rId8" w:history="1">
              <w:r w:rsidRPr="00A31118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https://www.kzcr.eu/cz/kz/odbornici/informace-pro-projektanty</w:t>
              </w:r>
            </w:hyperlink>
          </w:p>
        </w:tc>
        <w:tc>
          <w:tcPr>
            <w:tcW w:w="2126" w:type="dxa"/>
          </w:tcPr>
          <w:p w14:paraId="4DDF7B7A" w14:textId="77777777" w:rsidR="0063097B" w:rsidRPr="00A31118" w:rsidRDefault="0063097B" w:rsidP="008304DE">
            <w:pPr>
              <w:autoSpaceDN/>
              <w:ind w:left="360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2D92E42" w14:textId="77777777" w:rsidR="00431734" w:rsidRPr="00A31118" w:rsidRDefault="00431734" w:rsidP="007807E5">
      <w:pPr>
        <w:autoSpaceDN/>
        <w:contextualSpacing/>
        <w:rPr>
          <w:rFonts w:ascii="Arial" w:hAnsi="Arial"/>
          <w:sz w:val="20"/>
          <w:szCs w:val="20"/>
        </w:rPr>
      </w:pPr>
    </w:p>
    <w:sectPr w:rsidR="00431734" w:rsidRPr="00A31118" w:rsidSect="00343785">
      <w:headerReference w:type="default" r:id="rId9"/>
      <w:footerReference w:type="default" r:id="rId10"/>
      <w:pgSz w:w="11906" w:h="16838"/>
      <w:pgMar w:top="2836" w:right="1134" w:bottom="1134" w:left="1134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5DCB5" w16cid:durableId="29787E25"/>
  <w16cid:commentId w16cid:paraId="0188C1DE" w16cid:durableId="29787F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7A3D5" w14:textId="77777777" w:rsidR="00A01AAB" w:rsidRDefault="00A01AAB">
      <w:r>
        <w:separator/>
      </w:r>
    </w:p>
  </w:endnote>
  <w:endnote w:type="continuationSeparator" w:id="0">
    <w:p w14:paraId="27BBDE11" w14:textId="77777777" w:rsidR="00A01AAB" w:rsidRDefault="00A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101448"/>
      <w:docPartObj>
        <w:docPartGallery w:val="Page Numbers (Bottom of Page)"/>
        <w:docPartUnique/>
      </w:docPartObj>
    </w:sdtPr>
    <w:sdtEndPr/>
    <w:sdtContent>
      <w:p w14:paraId="2FE56595" w14:textId="0BFF4C54" w:rsidR="00431734" w:rsidRDefault="004317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3E6">
          <w:rPr>
            <w:noProof/>
          </w:rPr>
          <w:t>3</w:t>
        </w:r>
        <w:r>
          <w:fldChar w:fldCharType="end"/>
        </w:r>
      </w:p>
    </w:sdtContent>
  </w:sdt>
  <w:p w14:paraId="4F523DCA" w14:textId="77777777" w:rsidR="00431734" w:rsidRDefault="004317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30BC5" w14:textId="77777777" w:rsidR="00A01AAB" w:rsidRDefault="00A01AAB">
      <w:r>
        <w:rPr>
          <w:color w:val="000000"/>
        </w:rPr>
        <w:separator/>
      </w:r>
    </w:p>
  </w:footnote>
  <w:footnote w:type="continuationSeparator" w:id="0">
    <w:p w14:paraId="2AE06D53" w14:textId="77777777" w:rsidR="00A01AAB" w:rsidRDefault="00A0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BA51C" w14:textId="5B3276E0" w:rsidR="00343785" w:rsidRDefault="00343785">
    <w:pPr>
      <w:pStyle w:val="Zhlav"/>
    </w:pPr>
    <w:r w:rsidRPr="00343785">
      <w:rPr>
        <w:rFonts w:ascii="Times New Roman" w:eastAsia="Times New Roman" w:hAnsi="Times New Roman" w:cs="Times New Roman"/>
        <w:noProof/>
        <w:color w:val="FF0000"/>
        <w:kern w:val="0"/>
        <w:lang w:eastAsia="cs-CZ" w:bidi="ar-SA"/>
      </w:rPr>
      <w:drawing>
        <wp:anchor distT="0" distB="0" distL="114300" distR="114300" simplePos="0" relativeHeight="251659264" behindDoc="1" locked="0" layoutInCell="1" allowOverlap="1" wp14:anchorId="79915C85" wp14:editId="2AFD038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2784" cy="10682992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7DE8"/>
    <w:multiLevelType w:val="hybridMultilevel"/>
    <w:tmpl w:val="0B5AE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23D5"/>
    <w:multiLevelType w:val="hybridMultilevel"/>
    <w:tmpl w:val="E8801EE8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4344"/>
    <w:multiLevelType w:val="multilevel"/>
    <w:tmpl w:val="787E05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A477C1E"/>
    <w:multiLevelType w:val="multilevel"/>
    <w:tmpl w:val="A4D872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42F79E1"/>
    <w:multiLevelType w:val="hybridMultilevel"/>
    <w:tmpl w:val="0964A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E72D9"/>
    <w:multiLevelType w:val="hybridMultilevel"/>
    <w:tmpl w:val="44E0BC3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F5A89"/>
    <w:multiLevelType w:val="hybridMultilevel"/>
    <w:tmpl w:val="1E305A3C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33DE0"/>
    <w:multiLevelType w:val="hybridMultilevel"/>
    <w:tmpl w:val="003C5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F210A"/>
    <w:multiLevelType w:val="hybridMultilevel"/>
    <w:tmpl w:val="6D608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96EED"/>
    <w:multiLevelType w:val="multilevel"/>
    <w:tmpl w:val="949A6DEC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89A46CB"/>
    <w:multiLevelType w:val="hybridMultilevel"/>
    <w:tmpl w:val="2B0CD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7463"/>
    <w:multiLevelType w:val="hybridMultilevel"/>
    <w:tmpl w:val="BC266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C286F"/>
    <w:multiLevelType w:val="hybridMultilevel"/>
    <w:tmpl w:val="6FA4723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C5BBB"/>
    <w:multiLevelType w:val="hybridMultilevel"/>
    <w:tmpl w:val="9FD062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114262"/>
    <w:multiLevelType w:val="hybridMultilevel"/>
    <w:tmpl w:val="C9566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E3B2E"/>
    <w:multiLevelType w:val="multilevel"/>
    <w:tmpl w:val="1ECE0C86"/>
    <w:styleLink w:val="WWNum1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1E56ADF"/>
    <w:multiLevelType w:val="hybridMultilevel"/>
    <w:tmpl w:val="840C346E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677A6B"/>
    <w:multiLevelType w:val="hybridMultilevel"/>
    <w:tmpl w:val="5994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C32A4"/>
    <w:multiLevelType w:val="hybridMultilevel"/>
    <w:tmpl w:val="101E9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D00C7"/>
    <w:multiLevelType w:val="hybridMultilevel"/>
    <w:tmpl w:val="EFAA0822"/>
    <w:lvl w:ilvl="0" w:tplc="24FC410A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2"/>
  </w:num>
  <w:num w:numId="5">
    <w:abstractNumId w:val="11"/>
  </w:num>
  <w:num w:numId="6">
    <w:abstractNumId w:val="14"/>
  </w:num>
  <w:num w:numId="7">
    <w:abstractNumId w:val="8"/>
  </w:num>
  <w:num w:numId="8">
    <w:abstractNumId w:val="0"/>
  </w:num>
  <w:num w:numId="9">
    <w:abstractNumId w:val="12"/>
  </w:num>
  <w:num w:numId="10">
    <w:abstractNumId w:val="18"/>
  </w:num>
  <w:num w:numId="11">
    <w:abstractNumId w:val="5"/>
  </w:num>
  <w:num w:numId="12">
    <w:abstractNumId w:val="13"/>
  </w:num>
  <w:num w:numId="13">
    <w:abstractNumId w:val="15"/>
  </w:num>
  <w:num w:numId="14">
    <w:abstractNumId w:val="1"/>
  </w:num>
  <w:num w:numId="15">
    <w:abstractNumId w:val="6"/>
  </w:num>
  <w:num w:numId="16">
    <w:abstractNumId w:val="7"/>
  </w:num>
  <w:num w:numId="17">
    <w:abstractNumId w:val="20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0D"/>
    <w:rsid w:val="00033270"/>
    <w:rsid w:val="00042EAC"/>
    <w:rsid w:val="00050473"/>
    <w:rsid w:val="0006058E"/>
    <w:rsid w:val="0006173A"/>
    <w:rsid w:val="000759F0"/>
    <w:rsid w:val="00092633"/>
    <w:rsid w:val="000A24DA"/>
    <w:rsid w:val="000D495F"/>
    <w:rsid w:val="00123EF1"/>
    <w:rsid w:val="00131FD5"/>
    <w:rsid w:val="00145509"/>
    <w:rsid w:val="00164904"/>
    <w:rsid w:val="00171DCF"/>
    <w:rsid w:val="00195119"/>
    <w:rsid w:val="001A403B"/>
    <w:rsid w:val="001C2725"/>
    <w:rsid w:val="001C39BF"/>
    <w:rsid w:val="001D4675"/>
    <w:rsid w:val="001E6B62"/>
    <w:rsid w:val="00201B53"/>
    <w:rsid w:val="00266017"/>
    <w:rsid w:val="002823AB"/>
    <w:rsid w:val="002A44BA"/>
    <w:rsid w:val="002E4699"/>
    <w:rsid w:val="002F0D36"/>
    <w:rsid w:val="002F753C"/>
    <w:rsid w:val="003071C0"/>
    <w:rsid w:val="00343785"/>
    <w:rsid w:val="0036264A"/>
    <w:rsid w:val="0039585E"/>
    <w:rsid w:val="003B2308"/>
    <w:rsid w:val="003B7719"/>
    <w:rsid w:val="003C12E6"/>
    <w:rsid w:val="003C3561"/>
    <w:rsid w:val="00405F03"/>
    <w:rsid w:val="00431734"/>
    <w:rsid w:val="00456014"/>
    <w:rsid w:val="0046000D"/>
    <w:rsid w:val="00490432"/>
    <w:rsid w:val="004B0F63"/>
    <w:rsid w:val="004C5AC2"/>
    <w:rsid w:val="00506FE8"/>
    <w:rsid w:val="00521A56"/>
    <w:rsid w:val="00530DB0"/>
    <w:rsid w:val="00531818"/>
    <w:rsid w:val="00565892"/>
    <w:rsid w:val="005775D1"/>
    <w:rsid w:val="00586581"/>
    <w:rsid w:val="005A0D4F"/>
    <w:rsid w:val="005E1A0D"/>
    <w:rsid w:val="005E2ACF"/>
    <w:rsid w:val="005E7C5E"/>
    <w:rsid w:val="00613F3B"/>
    <w:rsid w:val="0063097B"/>
    <w:rsid w:val="006F0F44"/>
    <w:rsid w:val="00721E16"/>
    <w:rsid w:val="007807E5"/>
    <w:rsid w:val="007B7469"/>
    <w:rsid w:val="007E39E9"/>
    <w:rsid w:val="007F6D9D"/>
    <w:rsid w:val="00811380"/>
    <w:rsid w:val="00820720"/>
    <w:rsid w:val="00843898"/>
    <w:rsid w:val="008807B9"/>
    <w:rsid w:val="00885CE1"/>
    <w:rsid w:val="00895155"/>
    <w:rsid w:val="008B09AE"/>
    <w:rsid w:val="008B32CD"/>
    <w:rsid w:val="008B4C90"/>
    <w:rsid w:val="008C58E5"/>
    <w:rsid w:val="008D5A93"/>
    <w:rsid w:val="008F07AA"/>
    <w:rsid w:val="00910D15"/>
    <w:rsid w:val="009314CC"/>
    <w:rsid w:val="009413E6"/>
    <w:rsid w:val="009447C4"/>
    <w:rsid w:val="00945A5F"/>
    <w:rsid w:val="00985941"/>
    <w:rsid w:val="00995837"/>
    <w:rsid w:val="009A4649"/>
    <w:rsid w:val="009A7531"/>
    <w:rsid w:val="009B1E9C"/>
    <w:rsid w:val="009B267D"/>
    <w:rsid w:val="009E73BE"/>
    <w:rsid w:val="009F6B18"/>
    <w:rsid w:val="00A01AAB"/>
    <w:rsid w:val="00A05586"/>
    <w:rsid w:val="00A219EC"/>
    <w:rsid w:val="00A228A8"/>
    <w:rsid w:val="00A31118"/>
    <w:rsid w:val="00A81012"/>
    <w:rsid w:val="00A911C8"/>
    <w:rsid w:val="00AB00F9"/>
    <w:rsid w:val="00AB7C7F"/>
    <w:rsid w:val="00AC57FA"/>
    <w:rsid w:val="00AE6855"/>
    <w:rsid w:val="00B15DCD"/>
    <w:rsid w:val="00B25A22"/>
    <w:rsid w:val="00B31D60"/>
    <w:rsid w:val="00B341BE"/>
    <w:rsid w:val="00B5460A"/>
    <w:rsid w:val="00B54E9E"/>
    <w:rsid w:val="00B60952"/>
    <w:rsid w:val="00B908D5"/>
    <w:rsid w:val="00B97CEC"/>
    <w:rsid w:val="00BA0219"/>
    <w:rsid w:val="00C00DE2"/>
    <w:rsid w:val="00C03829"/>
    <w:rsid w:val="00C2015F"/>
    <w:rsid w:val="00C439F0"/>
    <w:rsid w:val="00C720DF"/>
    <w:rsid w:val="00C77792"/>
    <w:rsid w:val="00CB0B39"/>
    <w:rsid w:val="00CB544C"/>
    <w:rsid w:val="00CD70C5"/>
    <w:rsid w:val="00CE41BC"/>
    <w:rsid w:val="00CF4363"/>
    <w:rsid w:val="00D17560"/>
    <w:rsid w:val="00D42352"/>
    <w:rsid w:val="00D427AC"/>
    <w:rsid w:val="00D44481"/>
    <w:rsid w:val="00D5739E"/>
    <w:rsid w:val="00D64AD5"/>
    <w:rsid w:val="00D74146"/>
    <w:rsid w:val="00D74BED"/>
    <w:rsid w:val="00D9237F"/>
    <w:rsid w:val="00DA3C5B"/>
    <w:rsid w:val="00E23DA4"/>
    <w:rsid w:val="00E86BCC"/>
    <w:rsid w:val="00EA47BB"/>
    <w:rsid w:val="00EC0DD7"/>
    <w:rsid w:val="00EC1C28"/>
    <w:rsid w:val="00ED3C1C"/>
    <w:rsid w:val="00F23CB1"/>
    <w:rsid w:val="00F43547"/>
    <w:rsid w:val="00F57201"/>
    <w:rsid w:val="00F921AB"/>
    <w:rsid w:val="00F92898"/>
    <w:rsid w:val="00F94E30"/>
    <w:rsid w:val="00FA02D9"/>
    <w:rsid w:val="00FB5008"/>
    <w:rsid w:val="00FD434C"/>
    <w:rsid w:val="00F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C734"/>
  <w15:docId w15:val="{EF883F82-CE73-4286-8157-03AA2DDA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uiPriority w:val="99"/>
    <w:pPr>
      <w:suppressAutoHyphens/>
    </w:pPr>
    <w:rPr>
      <w:rFonts w:ascii="Times New Roman" w:eastAsia="Times New Roman" w:hAnsi="Times New Roman" w:cs="Times New Roman"/>
      <w:color w:val="0000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paragraph" w:styleId="Odstavecseseznamem">
    <w:name w:val="List Paragraph"/>
    <w:basedOn w:val="Normln"/>
    <w:link w:val="OdstavecseseznamemChar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PedmtkomenteChar">
    <w:name w:val="Předmět komentáře Char"/>
    <w:basedOn w:val="TextkomenteChar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rPr>
      <w:rFonts w:ascii="Segoe UI" w:hAnsi="Segoe UI" w:cs="Mangal"/>
      <w:sz w:val="18"/>
      <w:szCs w:val="16"/>
    </w:rPr>
  </w:style>
  <w:style w:type="numbering" w:customStyle="1" w:styleId="WW8Num22">
    <w:name w:val="WW8Num22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character" w:customStyle="1" w:styleId="OdstavecseseznamemChar">
    <w:name w:val="Odstavec se seznamem Char"/>
    <w:link w:val="Odstavecseseznamem"/>
    <w:uiPriority w:val="34"/>
    <w:locked/>
    <w:rsid w:val="003C12E6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Hypertextovodkaz">
    <w:name w:val="Hyperlink"/>
    <w:basedOn w:val="Standardnpsmoodstavce"/>
    <w:uiPriority w:val="99"/>
    <w:unhideWhenUsed/>
    <w:rsid w:val="003C12E6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4317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43173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odbornici/informace-pro-projektan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F5D2-5D0E-406F-9FD6-A4C855F1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Jana Kočnarová</dc:creator>
  <cp:lastModifiedBy>Lacinová Lenka</cp:lastModifiedBy>
  <cp:revision>4</cp:revision>
  <cp:lastPrinted>2021-11-12T14:02:00Z</cp:lastPrinted>
  <dcterms:created xsi:type="dcterms:W3CDTF">2024-02-20T09:28:00Z</dcterms:created>
  <dcterms:modified xsi:type="dcterms:W3CDTF">2024-02-21T11:51:00Z</dcterms:modified>
</cp:coreProperties>
</file>